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36767" w14:textId="77777777" w:rsidR="00AA6BC9" w:rsidRDefault="00AA6BC9">
      <w:pPr>
        <w:rPr>
          <w:lang w:val="nl-NL"/>
        </w:rPr>
      </w:pPr>
    </w:p>
    <w:p w14:paraId="62D42219" w14:textId="658FB0C9" w:rsidR="00481B85" w:rsidRPr="009E791C" w:rsidRDefault="00481B85" w:rsidP="00481B85">
      <w:pPr>
        <w:tabs>
          <w:tab w:val="right" w:pos="9638"/>
        </w:tabs>
        <w:rPr>
          <w:rFonts w:cs="Arial"/>
          <w:b/>
          <w:sz w:val="24"/>
          <w:lang w:eastAsia="en-GB"/>
        </w:rPr>
      </w:pPr>
      <w:r w:rsidRPr="009E791C">
        <w:rPr>
          <w:rFonts w:cs="Arial"/>
          <w:b/>
          <w:sz w:val="24"/>
          <w:lang w:eastAsia="en-GB"/>
        </w:rPr>
        <w:t xml:space="preserve">SA </w:t>
      </w:r>
      <w:proofErr w:type="spellStart"/>
      <w:r w:rsidRPr="009E791C">
        <w:rPr>
          <w:rFonts w:cs="Arial"/>
          <w:b/>
          <w:sz w:val="24"/>
          <w:lang w:eastAsia="en-GB"/>
        </w:rPr>
        <w:t>WG2</w:t>
      </w:r>
      <w:proofErr w:type="spellEnd"/>
      <w:r w:rsidRPr="009E791C">
        <w:rPr>
          <w:rFonts w:cs="Arial"/>
          <w:b/>
          <w:sz w:val="24"/>
          <w:lang w:eastAsia="en-GB"/>
        </w:rPr>
        <w:t xml:space="preserve"> Meeting #173</w:t>
      </w:r>
      <w:r w:rsidRPr="009E791C">
        <w:rPr>
          <w:rFonts w:cs="Arial"/>
          <w:b/>
          <w:sz w:val="24"/>
          <w:lang w:eastAsia="en-GB"/>
        </w:rPr>
        <w:tab/>
      </w:r>
      <w:proofErr w:type="spellStart"/>
      <w:r w:rsidRPr="009E791C">
        <w:rPr>
          <w:rFonts w:cs="Arial"/>
          <w:b/>
          <w:bCs/>
          <w:color w:val="808080"/>
          <w:sz w:val="26"/>
          <w:szCs w:val="26"/>
        </w:rPr>
        <w:t>S2</w:t>
      </w:r>
      <w:proofErr w:type="spellEnd"/>
      <w:r w:rsidRPr="009E791C">
        <w:rPr>
          <w:rFonts w:cs="Arial"/>
          <w:b/>
          <w:bCs/>
          <w:color w:val="808080"/>
          <w:sz w:val="26"/>
          <w:szCs w:val="26"/>
        </w:rPr>
        <w:t>-2</w:t>
      </w:r>
      <w:r w:rsidR="00FB76B6" w:rsidRPr="009E791C">
        <w:rPr>
          <w:rFonts w:cs="Arial"/>
          <w:b/>
          <w:bCs/>
          <w:color w:val="808080"/>
          <w:sz w:val="26"/>
          <w:szCs w:val="26"/>
        </w:rPr>
        <w:t>600739</w:t>
      </w:r>
    </w:p>
    <w:p w14:paraId="7F2D123D" w14:textId="54997B4A" w:rsidR="00481B85" w:rsidRPr="009E791C" w:rsidRDefault="00481B85" w:rsidP="00481B85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sz w:val="24"/>
          <w:lang w:eastAsia="en-GB"/>
        </w:rPr>
      </w:pPr>
      <w:r w:rsidRPr="009E791C">
        <w:rPr>
          <w:rFonts w:cs="Arial"/>
          <w:b/>
          <w:bCs/>
          <w:sz w:val="24"/>
          <w:lang w:eastAsia="ko-KR"/>
        </w:rPr>
        <w:t>9 – 13 February, 2026, Goa, India</w:t>
      </w:r>
    </w:p>
    <w:p w14:paraId="7F21A358" w14:textId="22C82621" w:rsidR="00481B85" w:rsidRPr="009E791C" w:rsidRDefault="00481B85" w:rsidP="00481B85">
      <w:pPr>
        <w:keepNext/>
        <w:tabs>
          <w:tab w:val="left" w:pos="2127"/>
        </w:tabs>
        <w:spacing w:after="120"/>
        <w:rPr>
          <w:rFonts w:cs="Arial"/>
          <w:b/>
          <w:sz w:val="24"/>
          <w:szCs w:val="24"/>
          <w:lang w:val="en-US"/>
        </w:rPr>
      </w:pPr>
      <w:r w:rsidRPr="009E791C">
        <w:rPr>
          <w:rFonts w:cs="Arial"/>
          <w:b/>
          <w:sz w:val="24"/>
          <w:szCs w:val="24"/>
          <w:lang w:val="en-US"/>
        </w:rPr>
        <w:t>Source:</w:t>
      </w:r>
      <w:r w:rsidRPr="009E791C">
        <w:rPr>
          <w:rFonts w:cs="Arial"/>
          <w:b/>
          <w:sz w:val="24"/>
          <w:szCs w:val="24"/>
          <w:lang w:val="en-US"/>
        </w:rPr>
        <w:tab/>
      </w:r>
      <w:proofErr w:type="spellStart"/>
      <w:r w:rsidRPr="009E791C">
        <w:rPr>
          <w:rFonts w:cs="Arial"/>
          <w:b/>
          <w:sz w:val="24"/>
          <w:szCs w:val="24"/>
          <w:lang w:val="en-US"/>
        </w:rPr>
        <w:t>KPN</w:t>
      </w:r>
      <w:proofErr w:type="spellEnd"/>
      <w:r w:rsidRPr="009E791C">
        <w:rPr>
          <w:rFonts w:cs="Arial"/>
          <w:b/>
          <w:sz w:val="24"/>
          <w:szCs w:val="24"/>
          <w:lang w:val="en-US"/>
        </w:rPr>
        <w:t xml:space="preserve"> N.V.</w:t>
      </w:r>
    </w:p>
    <w:p w14:paraId="48846A78" w14:textId="2F573BE7" w:rsidR="00481B85" w:rsidRPr="009E791C" w:rsidRDefault="00481B85" w:rsidP="00481B85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  <w:lang w:val="en-US"/>
        </w:rPr>
      </w:pPr>
      <w:r w:rsidRPr="009E791C">
        <w:rPr>
          <w:rFonts w:cs="Arial"/>
          <w:b/>
          <w:sz w:val="24"/>
          <w:szCs w:val="24"/>
        </w:rPr>
        <w:t>Title:</w:t>
      </w:r>
      <w:r w:rsidRPr="009E791C">
        <w:rPr>
          <w:rFonts w:cs="Arial"/>
          <w:b/>
          <w:sz w:val="24"/>
          <w:szCs w:val="24"/>
        </w:rPr>
        <w:tab/>
        <w:t xml:space="preserve">Sensing </w:t>
      </w:r>
      <w:r w:rsidR="00FB76B6" w:rsidRPr="009E791C">
        <w:rPr>
          <w:rFonts w:cs="Arial"/>
          <w:b/>
          <w:sz w:val="24"/>
          <w:szCs w:val="24"/>
        </w:rPr>
        <w:t xml:space="preserve">Entity </w:t>
      </w:r>
      <w:r w:rsidR="004542C6" w:rsidRPr="009E791C">
        <w:rPr>
          <w:rFonts w:cs="Arial"/>
          <w:b/>
          <w:sz w:val="24"/>
          <w:szCs w:val="24"/>
        </w:rPr>
        <w:t>s</w:t>
      </w:r>
      <w:r w:rsidR="00FB76B6" w:rsidRPr="009E791C">
        <w:rPr>
          <w:rFonts w:cs="Arial"/>
          <w:b/>
          <w:sz w:val="24"/>
          <w:szCs w:val="24"/>
        </w:rPr>
        <w:t>election</w:t>
      </w:r>
    </w:p>
    <w:p w14:paraId="1AF54F0B" w14:textId="77777777" w:rsidR="00481B85" w:rsidRPr="009E791C" w:rsidRDefault="00481B85" w:rsidP="00481B85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  <w:lang w:eastAsia="zh-CN"/>
        </w:rPr>
      </w:pPr>
      <w:r w:rsidRPr="009E791C">
        <w:rPr>
          <w:rFonts w:cs="Arial"/>
          <w:b/>
          <w:sz w:val="24"/>
          <w:szCs w:val="24"/>
        </w:rPr>
        <w:t>Document for:</w:t>
      </w:r>
      <w:r w:rsidRPr="009E791C">
        <w:rPr>
          <w:rFonts w:cs="Arial"/>
          <w:b/>
          <w:sz w:val="24"/>
          <w:szCs w:val="24"/>
        </w:rPr>
        <w:tab/>
      </w:r>
      <w:r w:rsidRPr="009E791C">
        <w:rPr>
          <w:rFonts w:cs="Arial"/>
          <w:b/>
          <w:sz w:val="24"/>
          <w:szCs w:val="24"/>
          <w:lang w:eastAsia="zh-CN"/>
        </w:rPr>
        <w:t>Approval</w:t>
      </w:r>
    </w:p>
    <w:p w14:paraId="4FE61D7B" w14:textId="1C1C02DB" w:rsidR="00481B85" w:rsidRPr="009E791C" w:rsidRDefault="00481B85" w:rsidP="00481B85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</w:rPr>
      </w:pPr>
      <w:r w:rsidRPr="009E791C">
        <w:rPr>
          <w:rFonts w:cs="Arial"/>
          <w:b/>
          <w:sz w:val="24"/>
          <w:szCs w:val="24"/>
        </w:rPr>
        <w:t>Agenda Item:</w:t>
      </w:r>
      <w:r w:rsidRPr="009E791C">
        <w:rPr>
          <w:rFonts w:cs="Arial"/>
          <w:b/>
          <w:sz w:val="24"/>
          <w:szCs w:val="24"/>
        </w:rPr>
        <w:tab/>
        <w:t>20.2.2</w:t>
      </w:r>
    </w:p>
    <w:p w14:paraId="73805A40" w14:textId="6A2586E1" w:rsidR="00301857" w:rsidRPr="009E791C" w:rsidRDefault="00481B85" w:rsidP="00481B85">
      <w:pPr>
        <w:spacing w:after="120"/>
        <w:rPr>
          <w:rFonts w:cs="Arial"/>
          <w:i/>
          <w:iCs/>
          <w:sz w:val="24"/>
          <w:szCs w:val="24"/>
          <w:lang w:eastAsia="zh-CN"/>
        </w:rPr>
      </w:pPr>
      <w:r w:rsidRPr="009E791C">
        <w:rPr>
          <w:rFonts w:cs="Arial"/>
          <w:i/>
        </w:rPr>
        <w:t>Abstract:</w:t>
      </w:r>
      <w:r w:rsidRPr="009E791C">
        <w:rPr>
          <w:rFonts w:cs="Arial"/>
          <w:i/>
        </w:rPr>
        <w:tab/>
        <w:t>The contribution</w:t>
      </w:r>
      <w:r w:rsidRPr="009E791C">
        <w:rPr>
          <w:rFonts w:cs="Arial"/>
          <w:i/>
          <w:lang w:eastAsia="zh-CN"/>
        </w:rPr>
        <w:t xml:space="preserve"> propose</w:t>
      </w:r>
      <w:r w:rsidRPr="009E791C">
        <w:rPr>
          <w:rFonts w:cs="Arial"/>
          <w:i/>
        </w:rPr>
        <w:t xml:space="preserve">s </w:t>
      </w:r>
      <w:r w:rsidRPr="009E791C">
        <w:rPr>
          <w:rFonts w:cs="Arial"/>
          <w:i/>
          <w:lang w:eastAsia="zh-CN"/>
        </w:rPr>
        <w:t>normative text for Sensing Entity Selection</w:t>
      </w:r>
    </w:p>
    <w:p w14:paraId="0CA35897" w14:textId="77777777" w:rsidR="00301857" w:rsidRPr="009E791C" w:rsidRDefault="00301857" w:rsidP="0030185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Malgun Gothic" w:cs="Times New Roman"/>
          <w:sz w:val="36"/>
          <w:lang w:eastAsia="ja-JP"/>
        </w:rPr>
      </w:pPr>
      <w:bookmarkStart w:id="0" w:name="_Hlk197651909"/>
      <w:bookmarkStart w:id="1" w:name="_Hlk197651831"/>
      <w:bookmarkStart w:id="2" w:name="_Hlk197652073"/>
      <w:r w:rsidRPr="009E791C">
        <w:rPr>
          <w:rFonts w:eastAsia="Malgun Gothic" w:cs="Times New Roman"/>
          <w:sz w:val="36"/>
          <w:lang w:eastAsia="ja-JP"/>
        </w:rPr>
        <w:t>1. Introduction</w:t>
      </w:r>
    </w:p>
    <w:p w14:paraId="51BBACF4" w14:textId="4187889D" w:rsidR="0095623C" w:rsidRPr="009E791C" w:rsidRDefault="0095623C" w:rsidP="0095623C">
      <w:pPr>
        <w:jc w:val="both"/>
        <w:rPr>
          <w:rFonts w:eastAsia="SimSun" w:cs="Times New Roman"/>
          <w:color w:val="000000"/>
          <w:lang w:eastAsia="zh-CN"/>
        </w:rPr>
      </w:pPr>
      <w:r w:rsidRPr="009E791C">
        <w:rPr>
          <w:rFonts w:eastAsia="SimSun" w:cs="Times New Roman"/>
          <w:color w:val="000000"/>
          <w:lang w:eastAsia="zh-CN"/>
        </w:rPr>
        <w:t>The study on ISAC in TR 23.700-14 captures the following conclusions to Key Issue #3</w:t>
      </w:r>
    </w:p>
    <w:p w14:paraId="3C53FB1B" w14:textId="77777777" w:rsidR="006F2009" w:rsidRPr="009E791C" w:rsidRDefault="006F2009" w:rsidP="00EB6D82">
      <w:pPr>
        <w:ind w:left="720"/>
        <w:jc w:val="both"/>
        <w:rPr>
          <w:rFonts w:eastAsia="SimSun" w:cs="Times New Roman"/>
          <w:color w:val="000000"/>
          <w:lang w:eastAsia="zh-CN"/>
        </w:rPr>
      </w:pPr>
      <w:r w:rsidRPr="009E791C">
        <w:rPr>
          <w:rFonts w:eastAsia="SimSun" w:cs="Times New Roman"/>
          <w:color w:val="000000"/>
          <w:lang w:eastAsia="zh-CN"/>
        </w:rPr>
        <w:t>6.</w:t>
      </w:r>
      <w:r w:rsidRPr="009E791C">
        <w:rPr>
          <w:rFonts w:eastAsia="SimSun" w:cs="Times New Roman"/>
          <w:color w:val="000000"/>
          <w:lang w:eastAsia="zh-CN"/>
        </w:rPr>
        <w:tab/>
        <w:t>The Sensing Function selects one or more Sensing Entity(</w:t>
      </w:r>
      <w:proofErr w:type="spellStart"/>
      <w:r w:rsidRPr="009E791C">
        <w:rPr>
          <w:rFonts w:eastAsia="SimSun" w:cs="Times New Roman"/>
          <w:color w:val="000000"/>
          <w:lang w:eastAsia="zh-CN"/>
        </w:rPr>
        <w:t>ies</w:t>
      </w:r>
      <w:proofErr w:type="spellEnd"/>
      <w:r w:rsidRPr="009E791C">
        <w:rPr>
          <w:rFonts w:eastAsia="SimSun" w:cs="Times New Roman"/>
          <w:color w:val="000000"/>
          <w:lang w:eastAsia="zh-CN"/>
        </w:rPr>
        <w:t xml:space="preserve">) (i.e. </w:t>
      </w:r>
      <w:proofErr w:type="spellStart"/>
      <w:r w:rsidRPr="009E791C">
        <w:rPr>
          <w:rFonts w:eastAsia="SimSun" w:cs="Times New Roman"/>
          <w:color w:val="000000"/>
          <w:lang w:eastAsia="zh-CN"/>
        </w:rPr>
        <w:t>gNB</w:t>
      </w:r>
      <w:proofErr w:type="spellEnd"/>
      <w:r w:rsidRPr="009E791C">
        <w:rPr>
          <w:rFonts w:eastAsia="SimSun" w:cs="Times New Roman"/>
          <w:color w:val="000000"/>
          <w:lang w:eastAsia="zh-CN"/>
        </w:rPr>
        <w:t>(s)), based on the sensing service request (e.g. target sensing service area), supported sensing area of Sensing Entity.</w:t>
      </w:r>
    </w:p>
    <w:p w14:paraId="7CD50954" w14:textId="77777777" w:rsidR="006F2009" w:rsidRPr="009E791C" w:rsidRDefault="006F2009" w:rsidP="00EB6D82">
      <w:pPr>
        <w:ind w:left="720"/>
        <w:jc w:val="both"/>
        <w:rPr>
          <w:rFonts w:eastAsia="SimSun" w:cs="Times New Roman"/>
          <w:color w:val="000000"/>
          <w:lang w:eastAsia="zh-CN"/>
        </w:rPr>
      </w:pPr>
      <w:r w:rsidRPr="009E791C">
        <w:rPr>
          <w:rFonts w:eastAsia="SimSun" w:cs="Times New Roman"/>
          <w:color w:val="000000"/>
          <w:lang w:eastAsia="zh-CN"/>
        </w:rPr>
        <w:t>7.</w:t>
      </w:r>
      <w:r w:rsidRPr="009E791C">
        <w:rPr>
          <w:rFonts w:eastAsia="SimSun" w:cs="Times New Roman"/>
          <w:color w:val="000000"/>
          <w:lang w:eastAsia="zh-CN"/>
        </w:rPr>
        <w:tab/>
        <w:t>The Sensing Function may re-select Sensing Entity(</w:t>
      </w:r>
      <w:proofErr w:type="spellStart"/>
      <w:r w:rsidRPr="009E791C">
        <w:rPr>
          <w:rFonts w:eastAsia="SimSun" w:cs="Times New Roman"/>
          <w:color w:val="000000"/>
          <w:lang w:eastAsia="zh-CN"/>
        </w:rPr>
        <w:t>ies</w:t>
      </w:r>
      <w:proofErr w:type="spellEnd"/>
      <w:r w:rsidRPr="009E791C">
        <w:rPr>
          <w:rFonts w:eastAsia="SimSun" w:cs="Times New Roman"/>
          <w:color w:val="000000"/>
          <w:lang w:eastAsia="zh-CN"/>
        </w:rPr>
        <w:t xml:space="preserve">) (i.e. </w:t>
      </w:r>
      <w:proofErr w:type="spellStart"/>
      <w:r w:rsidRPr="009E791C">
        <w:rPr>
          <w:rFonts w:eastAsia="SimSun" w:cs="Times New Roman"/>
          <w:color w:val="000000"/>
          <w:lang w:eastAsia="zh-CN"/>
        </w:rPr>
        <w:t>gNB</w:t>
      </w:r>
      <w:proofErr w:type="spellEnd"/>
      <w:r w:rsidRPr="009E791C">
        <w:rPr>
          <w:rFonts w:eastAsia="SimSun" w:cs="Times New Roman"/>
          <w:color w:val="000000"/>
          <w:lang w:eastAsia="zh-CN"/>
        </w:rPr>
        <w:t>(s)), based on the sensing service request (e.g. target sensing service area), supported sensing area of Sensing Entity.</w:t>
      </w:r>
    </w:p>
    <w:p w14:paraId="13D3E982" w14:textId="77777777" w:rsidR="006F2009" w:rsidRPr="009E791C" w:rsidRDefault="006F2009" w:rsidP="00EB6D82">
      <w:pPr>
        <w:ind w:left="720"/>
        <w:jc w:val="both"/>
        <w:rPr>
          <w:rFonts w:eastAsia="SimSun" w:cs="Times New Roman"/>
          <w:color w:val="000000"/>
          <w:lang w:eastAsia="zh-CN"/>
        </w:rPr>
      </w:pPr>
      <w:r w:rsidRPr="009E791C">
        <w:rPr>
          <w:rFonts w:eastAsia="SimSun" w:cs="Times New Roman"/>
          <w:color w:val="000000"/>
          <w:lang w:eastAsia="zh-CN"/>
        </w:rPr>
        <w:t>NOTE 1:</w:t>
      </w:r>
      <w:r w:rsidRPr="009E791C">
        <w:rPr>
          <w:rFonts w:eastAsia="SimSun" w:cs="Times New Roman"/>
          <w:color w:val="000000"/>
          <w:lang w:eastAsia="zh-CN"/>
        </w:rPr>
        <w:tab/>
        <w:t xml:space="preserve">How SF can obtain the information of SEs (e.g. via OAM, via signalling) will be determined during the normative phase and require coordination with RAN </w:t>
      </w:r>
      <w:proofErr w:type="spellStart"/>
      <w:r w:rsidRPr="009E791C">
        <w:rPr>
          <w:rFonts w:eastAsia="SimSun" w:cs="Times New Roman"/>
          <w:color w:val="000000"/>
          <w:lang w:eastAsia="zh-CN"/>
        </w:rPr>
        <w:t>WGs</w:t>
      </w:r>
      <w:proofErr w:type="spellEnd"/>
      <w:r w:rsidRPr="009E791C">
        <w:rPr>
          <w:rFonts w:eastAsia="SimSun" w:cs="Times New Roman"/>
          <w:color w:val="000000"/>
          <w:lang w:eastAsia="zh-CN"/>
        </w:rPr>
        <w:t>.</w:t>
      </w:r>
    </w:p>
    <w:p w14:paraId="1342CB8D" w14:textId="43B1DBCB" w:rsidR="006F2009" w:rsidRPr="009E791C" w:rsidRDefault="006F2009" w:rsidP="00EB6D82">
      <w:pPr>
        <w:ind w:left="720"/>
        <w:jc w:val="both"/>
        <w:rPr>
          <w:rFonts w:eastAsia="SimSun" w:cs="Times New Roman"/>
          <w:color w:val="000000"/>
          <w:lang w:eastAsia="zh-CN"/>
        </w:rPr>
      </w:pPr>
      <w:r w:rsidRPr="009E791C">
        <w:rPr>
          <w:rFonts w:eastAsia="SimSun" w:cs="Times New Roman"/>
          <w:color w:val="000000"/>
          <w:lang w:eastAsia="zh-CN"/>
        </w:rPr>
        <w:t>NOTE 2:</w:t>
      </w:r>
      <w:r w:rsidRPr="009E791C">
        <w:rPr>
          <w:rFonts w:eastAsia="SimSun" w:cs="Times New Roman"/>
          <w:color w:val="000000"/>
          <w:lang w:eastAsia="zh-CN"/>
        </w:rPr>
        <w:tab/>
        <w:t xml:space="preserve">The details of the information/capability of SE and the information/capability used for SE (re-)selection will be determined during the normative phase and require coordination with RAN </w:t>
      </w:r>
      <w:proofErr w:type="spellStart"/>
      <w:r w:rsidRPr="009E791C">
        <w:rPr>
          <w:rFonts w:eastAsia="SimSun" w:cs="Times New Roman"/>
          <w:color w:val="000000"/>
          <w:lang w:eastAsia="zh-CN"/>
        </w:rPr>
        <w:t>WGs</w:t>
      </w:r>
      <w:proofErr w:type="spellEnd"/>
      <w:r w:rsidRPr="009E791C">
        <w:rPr>
          <w:rFonts w:eastAsia="SimSun" w:cs="Times New Roman"/>
          <w:color w:val="000000"/>
          <w:lang w:eastAsia="zh-CN"/>
        </w:rPr>
        <w:t>.</w:t>
      </w:r>
    </w:p>
    <w:bookmarkEnd w:id="0"/>
    <w:p w14:paraId="66041674" w14:textId="4572D10B" w:rsidR="00434C39" w:rsidRPr="009E791C" w:rsidRDefault="00434C39" w:rsidP="00434C39">
      <w:pPr>
        <w:jc w:val="both"/>
        <w:rPr>
          <w:rFonts w:eastAsia="SimSun" w:cs="Times New Roman"/>
          <w:lang w:eastAsia="zh-CN"/>
        </w:rPr>
      </w:pPr>
      <w:r w:rsidRPr="009E791C">
        <w:rPr>
          <w:rFonts w:eastAsia="SimSun" w:cs="Times New Roman"/>
          <w:lang w:eastAsia="zh-CN"/>
        </w:rPr>
        <w:t>F</w:t>
      </w:r>
      <w:r w:rsidR="009729FD" w:rsidRPr="009E791C">
        <w:rPr>
          <w:rFonts w:eastAsia="SimSun" w:cs="Times New Roman"/>
          <w:lang w:eastAsia="zh-CN"/>
        </w:rPr>
        <w:t>rom an operator’s perspective, sensing</w:t>
      </w:r>
      <w:r w:rsidR="00871D3B" w:rsidRPr="009E791C">
        <w:rPr>
          <w:rFonts w:eastAsia="SimSun" w:cs="Times New Roman"/>
          <w:lang w:eastAsia="zh-CN"/>
        </w:rPr>
        <w:t xml:space="preserve"> </w:t>
      </w:r>
      <w:r w:rsidR="009729FD" w:rsidRPr="009E791C">
        <w:rPr>
          <w:rFonts w:eastAsia="SimSun" w:cs="Times New Roman"/>
          <w:lang w:eastAsia="zh-CN"/>
        </w:rPr>
        <w:t>services will be offered alongside the traditional communication services. Therefore, when selecting </w:t>
      </w:r>
      <w:proofErr w:type="spellStart"/>
      <w:r w:rsidR="009729FD" w:rsidRPr="009E791C">
        <w:rPr>
          <w:rFonts w:eastAsia="SimSun" w:cs="Times New Roman"/>
          <w:lang w:eastAsia="zh-CN"/>
        </w:rPr>
        <w:t>gNB</w:t>
      </w:r>
      <w:proofErr w:type="spellEnd"/>
      <w:r w:rsidR="009729FD" w:rsidRPr="009E791C">
        <w:rPr>
          <w:rFonts w:eastAsia="SimSun" w:cs="Times New Roman"/>
          <w:lang w:eastAsia="zh-CN"/>
        </w:rPr>
        <w:t>(s) for sensing, it is essential to take into account both the communication-related aspects (e.g., ongoing communication tasks at a candidate </w:t>
      </w:r>
      <w:proofErr w:type="spellStart"/>
      <w:r w:rsidR="009729FD" w:rsidRPr="009E791C">
        <w:rPr>
          <w:rFonts w:eastAsia="SimSun" w:cs="Times New Roman"/>
          <w:lang w:eastAsia="zh-CN"/>
        </w:rPr>
        <w:t>gNB</w:t>
      </w:r>
      <w:proofErr w:type="spellEnd"/>
      <w:r w:rsidR="009729FD" w:rsidRPr="009E791C">
        <w:rPr>
          <w:rFonts w:eastAsia="SimSun" w:cs="Times New Roman"/>
          <w:lang w:eastAsia="zh-CN"/>
        </w:rPr>
        <w:t>) and the sensing</w:t>
      </w:r>
      <w:r w:rsidR="009729FD" w:rsidRPr="009E791C">
        <w:rPr>
          <w:rFonts w:eastAsia="SimSun" w:cs="Times New Roman"/>
          <w:lang w:eastAsia="zh-CN"/>
        </w:rPr>
        <w:noBreakHyphen/>
        <w:t>related aspects (e.g., ongoing sensing tasks at that same </w:t>
      </w:r>
      <w:proofErr w:type="spellStart"/>
      <w:r w:rsidR="009729FD" w:rsidRPr="009E791C">
        <w:rPr>
          <w:rFonts w:eastAsia="SimSun" w:cs="Times New Roman"/>
          <w:lang w:eastAsia="zh-CN"/>
        </w:rPr>
        <w:t>gNB</w:t>
      </w:r>
      <w:proofErr w:type="spellEnd"/>
      <w:r w:rsidR="009729FD" w:rsidRPr="009E791C">
        <w:rPr>
          <w:rFonts w:eastAsia="SimSun" w:cs="Times New Roman"/>
          <w:lang w:eastAsia="zh-CN"/>
        </w:rPr>
        <w:t xml:space="preserve">). A key parameter reflecting both communication and sensing perspectives is the network load, e.g. cell load. This relationship is also captured in </w:t>
      </w:r>
      <w:proofErr w:type="spellStart"/>
      <w:r w:rsidR="009729FD" w:rsidRPr="009E791C">
        <w:rPr>
          <w:rFonts w:eastAsia="SimSun" w:cs="Times New Roman"/>
          <w:lang w:eastAsia="zh-CN"/>
        </w:rPr>
        <w:t>SA1</w:t>
      </w:r>
      <w:proofErr w:type="spellEnd"/>
      <w:r w:rsidR="009729FD" w:rsidRPr="009E791C">
        <w:rPr>
          <w:rFonts w:eastAsia="SimSun" w:cs="Times New Roman"/>
          <w:lang w:eastAsia="zh-CN"/>
        </w:rPr>
        <w:t xml:space="preserve"> TS 22.137 through the following requirement:</w:t>
      </w:r>
    </w:p>
    <w:p w14:paraId="57B013E4" w14:textId="11951635" w:rsidR="001F5F20" w:rsidRPr="009E791C" w:rsidRDefault="001F5F20" w:rsidP="00434C39">
      <w:pPr>
        <w:jc w:val="both"/>
        <w:rPr>
          <w:rFonts w:eastAsia="SimSun" w:cs="Times New Roman"/>
          <w:color w:val="215E99" w:themeColor="text2" w:themeTint="BF"/>
          <w:lang w:eastAsia="zh-CN"/>
        </w:rPr>
      </w:pPr>
      <w:r w:rsidRPr="009E791C">
        <w:rPr>
          <w:rFonts w:eastAsia="SimSun" w:cs="Times New Roman"/>
          <w:color w:val="215E99" w:themeColor="text2" w:themeTint="BF"/>
          <w:lang w:eastAsia="zh-CN"/>
        </w:rPr>
        <w:t xml:space="preserve">Let us also consider an example as shown in Figure 1. The supported sensing areas of </w:t>
      </w:r>
      <w:proofErr w:type="spellStart"/>
      <w:r w:rsidRPr="009E791C">
        <w:rPr>
          <w:rFonts w:eastAsia="SimSun" w:cs="Times New Roman"/>
          <w:color w:val="215E99" w:themeColor="text2" w:themeTint="BF"/>
          <w:lang w:eastAsia="zh-CN"/>
        </w:rPr>
        <w:t>gNBa</w:t>
      </w:r>
      <w:proofErr w:type="spellEnd"/>
      <w:r w:rsidRPr="009E791C">
        <w:rPr>
          <w:rFonts w:eastAsia="SimSun" w:cs="Times New Roman"/>
          <w:color w:val="215E99" w:themeColor="text2" w:themeTint="BF"/>
          <w:lang w:eastAsia="zh-CN"/>
        </w:rPr>
        <w:t xml:space="preserve"> and </w:t>
      </w:r>
      <w:proofErr w:type="spellStart"/>
      <w:r w:rsidRPr="009E791C">
        <w:rPr>
          <w:rFonts w:eastAsia="SimSun" w:cs="Times New Roman"/>
          <w:color w:val="215E99" w:themeColor="text2" w:themeTint="BF"/>
          <w:lang w:eastAsia="zh-CN"/>
        </w:rPr>
        <w:t>gNBb</w:t>
      </w:r>
      <w:proofErr w:type="spellEnd"/>
      <w:r w:rsidRPr="009E791C">
        <w:rPr>
          <w:rFonts w:eastAsia="SimSun" w:cs="Times New Roman"/>
          <w:color w:val="215E99" w:themeColor="text2" w:themeTint="BF"/>
          <w:lang w:eastAsia="zh-CN"/>
        </w:rPr>
        <w:t xml:space="preserve"> are marked in grey both covering the target sensing service area (orange) as required by the sensing service. However, at the time of sensing service arrival, </w:t>
      </w:r>
      <w:proofErr w:type="spellStart"/>
      <w:r w:rsidRPr="009E791C">
        <w:rPr>
          <w:rFonts w:eastAsia="SimSun" w:cs="Times New Roman"/>
          <w:color w:val="215E99" w:themeColor="text2" w:themeTint="BF"/>
          <w:lang w:eastAsia="zh-CN"/>
        </w:rPr>
        <w:t>gNBa</w:t>
      </w:r>
      <w:proofErr w:type="spellEnd"/>
      <w:r w:rsidRPr="009E791C">
        <w:rPr>
          <w:rFonts w:eastAsia="SimSun" w:cs="Times New Roman"/>
          <w:color w:val="215E99" w:themeColor="text2" w:themeTint="BF"/>
          <w:lang w:eastAsia="zh-CN"/>
        </w:rPr>
        <w:t xml:space="preserve"> is much more heavily loaded with communication tasks than that of </w:t>
      </w:r>
      <w:proofErr w:type="spellStart"/>
      <w:r w:rsidRPr="009E791C">
        <w:rPr>
          <w:rFonts w:eastAsia="SimSun" w:cs="Times New Roman"/>
          <w:color w:val="215E99" w:themeColor="text2" w:themeTint="BF"/>
          <w:lang w:eastAsia="zh-CN"/>
        </w:rPr>
        <w:t>gNBb</w:t>
      </w:r>
      <w:proofErr w:type="spellEnd"/>
      <w:r w:rsidRPr="009E791C">
        <w:rPr>
          <w:rFonts w:eastAsia="SimSun" w:cs="Times New Roman"/>
          <w:color w:val="215E99" w:themeColor="text2" w:themeTint="BF"/>
          <w:lang w:eastAsia="zh-CN"/>
        </w:rPr>
        <w:t xml:space="preserve">. In such a case, the network may select </w:t>
      </w:r>
      <w:proofErr w:type="spellStart"/>
      <w:r w:rsidRPr="009E791C">
        <w:rPr>
          <w:rFonts w:eastAsia="SimSun" w:cs="Times New Roman"/>
          <w:color w:val="215E99" w:themeColor="text2" w:themeTint="BF"/>
          <w:lang w:eastAsia="zh-CN"/>
        </w:rPr>
        <w:t>gNBb</w:t>
      </w:r>
      <w:proofErr w:type="spellEnd"/>
      <w:r w:rsidRPr="009E791C">
        <w:rPr>
          <w:rFonts w:eastAsia="SimSun" w:cs="Times New Roman"/>
          <w:color w:val="215E99" w:themeColor="text2" w:themeTint="BF"/>
          <w:lang w:eastAsia="zh-CN"/>
        </w:rPr>
        <w:t xml:space="preserve"> to perform the sensing task to achieve efficient load balancing. Since </w:t>
      </w:r>
      <w:proofErr w:type="spellStart"/>
      <w:r w:rsidRPr="009E791C">
        <w:rPr>
          <w:rFonts w:eastAsia="SimSun" w:cs="Times New Roman"/>
          <w:color w:val="215E99" w:themeColor="text2" w:themeTint="BF"/>
          <w:lang w:eastAsia="zh-CN"/>
        </w:rPr>
        <w:t>gNBb</w:t>
      </w:r>
      <w:proofErr w:type="spellEnd"/>
      <w:r w:rsidRPr="009E791C">
        <w:rPr>
          <w:rFonts w:eastAsia="SimSun" w:cs="Times New Roman"/>
          <w:color w:val="215E99" w:themeColor="text2" w:themeTint="BF"/>
          <w:lang w:eastAsia="zh-CN"/>
        </w:rPr>
        <w:t xml:space="preserve"> can allocate more resources to sensing, it may also improve sensing performance.</w:t>
      </w:r>
    </w:p>
    <w:p w14:paraId="189CD594" w14:textId="77777777" w:rsidR="00484B16" w:rsidRPr="009E791C" w:rsidRDefault="00484B16" w:rsidP="00484B16">
      <w:pPr>
        <w:keepNext/>
        <w:jc w:val="center"/>
      </w:pPr>
      <w:r w:rsidRPr="009E791C">
        <w:rPr>
          <w:noProof/>
        </w:rPr>
        <w:drawing>
          <wp:inline distT="0" distB="0" distL="0" distR="0" wp14:anchorId="4CE308AE" wp14:editId="3A4B4156">
            <wp:extent cx="2971800" cy="2165350"/>
            <wp:effectExtent l="0" t="0" r="0" b="6350"/>
            <wp:docPr id="19883683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CE1CE" w14:textId="7AA37616" w:rsidR="001F5F20" w:rsidRPr="009E791C" w:rsidRDefault="00484B16" w:rsidP="00484B16">
      <w:pPr>
        <w:pStyle w:val="Caption"/>
        <w:jc w:val="center"/>
        <w:rPr>
          <w:rFonts w:eastAsia="SimSun" w:cs="Times New Roman"/>
          <w:color w:val="215E99" w:themeColor="text2" w:themeTint="BF"/>
          <w:lang w:eastAsia="zh-CN"/>
        </w:rPr>
      </w:pPr>
      <w:r w:rsidRPr="009E791C">
        <w:t xml:space="preserve">Figure </w:t>
      </w:r>
      <w:r w:rsidRPr="009E791C">
        <w:fldChar w:fldCharType="begin"/>
      </w:r>
      <w:r w:rsidRPr="009E791C">
        <w:instrText xml:space="preserve"> SEQ Figure \* ARABIC </w:instrText>
      </w:r>
      <w:r w:rsidRPr="009E791C">
        <w:fldChar w:fldCharType="separate"/>
      </w:r>
      <w:proofErr w:type="spellStart"/>
      <w:r w:rsidR="00BF4A54">
        <w:rPr>
          <w:noProof/>
        </w:rPr>
        <w:t>1</w:t>
      </w:r>
      <w:r w:rsidRPr="009E791C">
        <w:fldChar w:fldCharType="end"/>
      </w:r>
      <w:r w:rsidRPr="009E791C">
        <w:t>:Selection</w:t>
      </w:r>
      <w:proofErr w:type="spellEnd"/>
      <w:r w:rsidRPr="009E791C">
        <w:t xml:space="preserve"> of </w:t>
      </w:r>
      <w:proofErr w:type="spellStart"/>
      <w:r w:rsidRPr="009E791C">
        <w:t>gNBs</w:t>
      </w:r>
      <w:proofErr w:type="spellEnd"/>
      <w:r w:rsidRPr="009E791C">
        <w:t xml:space="preserve"> by the SF</w:t>
      </w:r>
      <w:r w:rsidR="00A70278" w:rsidRPr="009E791C">
        <w:t xml:space="preserve"> based on supported sensing area as well as network load</w:t>
      </w:r>
    </w:p>
    <w:p w14:paraId="6D3AD093" w14:textId="77777777" w:rsidR="00484B16" w:rsidRPr="009E791C" w:rsidRDefault="00484B16" w:rsidP="00484B16">
      <w:pPr>
        <w:jc w:val="center"/>
        <w:rPr>
          <w:rFonts w:eastAsia="SimSun" w:cs="Times New Roman"/>
          <w:color w:val="215E99" w:themeColor="text2" w:themeTint="BF"/>
          <w:lang w:eastAsia="zh-CN"/>
        </w:rPr>
      </w:pPr>
    </w:p>
    <w:p w14:paraId="3B3C186E" w14:textId="7C356B8E" w:rsidR="00866391" w:rsidRPr="009E791C" w:rsidRDefault="009729FD" w:rsidP="00301857">
      <w:pPr>
        <w:jc w:val="both"/>
        <w:rPr>
          <w:rFonts w:eastAsia="SimSun" w:cs="Times New Roman"/>
          <w:color w:val="000000"/>
          <w:lang w:eastAsia="zh-CN"/>
        </w:rPr>
      </w:pPr>
      <w:r w:rsidRPr="009E791C">
        <w:rPr>
          <w:rFonts w:eastAsia="SimSun" w:cs="Times New Roman"/>
          <w:lang w:eastAsia="zh-CN"/>
        </w:rPr>
        <w:t> </w:t>
      </w:r>
      <w:r w:rsidR="008407DD" w:rsidRPr="009E791C">
        <w:rPr>
          <w:rFonts w:eastAsia="SimSun" w:cs="Times New Roman"/>
          <w:color w:val="000000"/>
          <w:lang w:eastAsia="zh-CN"/>
        </w:rPr>
        <w:t>The normative text below proposes using cell load as a criterion for SE (</w:t>
      </w:r>
      <w:proofErr w:type="spellStart"/>
      <w:r w:rsidR="008407DD" w:rsidRPr="009E791C">
        <w:rPr>
          <w:rFonts w:eastAsia="SimSun" w:cs="Times New Roman"/>
          <w:color w:val="000000"/>
          <w:lang w:eastAsia="zh-CN"/>
        </w:rPr>
        <w:t>gNB</w:t>
      </w:r>
      <w:proofErr w:type="spellEnd"/>
      <w:r w:rsidR="008407DD" w:rsidRPr="009E791C">
        <w:rPr>
          <w:rFonts w:eastAsia="SimSun" w:cs="Times New Roman"/>
          <w:color w:val="000000"/>
          <w:lang w:eastAsia="zh-CN"/>
        </w:rPr>
        <w:t>) selection.</w:t>
      </w:r>
    </w:p>
    <w:p w14:paraId="2AB8B320" w14:textId="77777777" w:rsidR="00301857" w:rsidRPr="009E791C" w:rsidRDefault="00301857" w:rsidP="00301857">
      <w:pPr>
        <w:pBdr>
          <w:bottom w:val="single" w:sz="12" w:space="1" w:color="auto"/>
        </w:pBdr>
        <w:rPr>
          <w:noProof/>
          <w:lang w:val="en-US"/>
        </w:rPr>
      </w:pPr>
    </w:p>
    <w:p w14:paraId="0ABC9F21" w14:textId="77777777" w:rsidR="00301857" w:rsidRPr="009E791C" w:rsidRDefault="00301857" w:rsidP="00301857">
      <w:pPr>
        <w:jc w:val="both"/>
        <w:rPr>
          <w:rFonts w:eastAsia="DengXian"/>
          <w:color w:val="000000"/>
          <w:lang w:eastAsia="zh-CN"/>
        </w:rPr>
      </w:pPr>
    </w:p>
    <w:p w14:paraId="013179ED" w14:textId="660B6263" w:rsidR="00301857" w:rsidRPr="009E791C" w:rsidRDefault="00301857" w:rsidP="00301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Yu Mincho" w:cs="Arial"/>
          <w:color w:val="FF0000"/>
          <w:sz w:val="28"/>
          <w:szCs w:val="28"/>
          <w:lang w:val="en-US" w:eastAsia="ja-JP"/>
        </w:rPr>
      </w:pPr>
      <w:r w:rsidRPr="009E791C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* * * * </w:t>
      </w:r>
      <w:r w:rsidRPr="009E791C">
        <w:rPr>
          <w:rFonts w:eastAsia="Malgun Gothic" w:cs="Arial"/>
          <w:color w:val="FF0000"/>
          <w:sz w:val="28"/>
          <w:szCs w:val="28"/>
          <w:lang w:val="en-US" w:eastAsia="zh-CN"/>
        </w:rPr>
        <w:t>Start of</w:t>
      </w:r>
      <w:r w:rsidRPr="009E791C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 change </w:t>
      </w:r>
      <w:r w:rsidR="00BC5DA5">
        <w:rPr>
          <w:rFonts w:eastAsia="Malgun Gothic" w:cs="Arial"/>
          <w:color w:val="FF0000"/>
          <w:sz w:val="28"/>
          <w:szCs w:val="28"/>
          <w:lang w:val="en-US" w:eastAsia="ja-JP"/>
        </w:rPr>
        <w:t>(all new text)</w:t>
      </w:r>
      <w:r w:rsidRPr="009E791C">
        <w:rPr>
          <w:rFonts w:eastAsia="Malgun Gothic" w:cs="Arial"/>
          <w:color w:val="FF0000"/>
          <w:sz w:val="28"/>
          <w:szCs w:val="28"/>
          <w:lang w:val="en-US" w:eastAsia="ja-JP"/>
        </w:rPr>
        <w:t>* * * *</w:t>
      </w:r>
      <w:bookmarkEnd w:id="1"/>
      <w:bookmarkEnd w:id="2"/>
    </w:p>
    <w:p w14:paraId="1219A7DE" w14:textId="49CE3A44" w:rsidR="0049272E" w:rsidRDefault="0049272E" w:rsidP="0049272E">
      <w:pPr>
        <w:pStyle w:val="Heading1"/>
      </w:pPr>
      <w:r>
        <w:t>5 High-level Functionality and Features</w:t>
      </w:r>
    </w:p>
    <w:p w14:paraId="6F0242CD" w14:textId="22D52DCD" w:rsidR="0049272E" w:rsidRDefault="00511AC6" w:rsidP="005218CC">
      <w:pPr>
        <w:pStyle w:val="Heading2"/>
      </w:pPr>
      <w:r>
        <w:t xml:space="preserve">5.2.2 </w:t>
      </w:r>
      <w:r w:rsidR="005218CC" w:rsidRPr="005218CC">
        <w:t>SE discovery and (re-)selection</w:t>
      </w:r>
    </w:p>
    <w:p w14:paraId="611045B0" w14:textId="66098676" w:rsidR="00301857" w:rsidRDefault="00754B70" w:rsidP="00C1036C">
      <w:pPr>
        <w:jc w:val="both"/>
      </w:pPr>
      <w:r>
        <w:t xml:space="preserve">The capabilities of the </w:t>
      </w:r>
      <w:r w:rsidR="006A2E22">
        <w:t xml:space="preserve">Sensing Entities </w:t>
      </w:r>
      <w:r>
        <w:t xml:space="preserve">are </w:t>
      </w:r>
      <w:r w:rsidR="00F21920">
        <w:t>available at</w:t>
      </w:r>
      <w:r>
        <w:t xml:space="preserve"> the Sensing Function</w:t>
      </w:r>
      <w:r w:rsidR="004D7762">
        <w:t xml:space="preserve"> a priori</w:t>
      </w:r>
      <w:r>
        <w:t xml:space="preserve">. Upon receiving a sensing request, the sensing function </w:t>
      </w:r>
      <w:r w:rsidR="00B93488">
        <w:t xml:space="preserve">sends a request to the sensing entities </w:t>
      </w:r>
      <w:r w:rsidR="00B721C1">
        <w:t>ca</w:t>
      </w:r>
      <w:r w:rsidR="00C15C6D">
        <w:t>pable of</w:t>
      </w:r>
      <w:r w:rsidR="00423712">
        <w:t xml:space="preserve"> sensing </w:t>
      </w:r>
      <w:r w:rsidR="008979C7">
        <w:t>in the target sensing area</w:t>
      </w:r>
      <w:r w:rsidR="00C1036C">
        <w:t xml:space="preserve">.  </w:t>
      </w:r>
      <w:r w:rsidR="00B461FE">
        <w:t>T</w:t>
      </w:r>
      <w:r w:rsidR="00C1036C">
        <w:t>he sensing entities</w:t>
      </w:r>
      <w:r w:rsidR="00B461FE">
        <w:t xml:space="preserve"> are requested</w:t>
      </w:r>
      <w:r w:rsidR="00C1036C">
        <w:t xml:space="preserve"> to provide information </w:t>
      </w:r>
      <w:r w:rsidR="004A104A">
        <w:t xml:space="preserve">indicating </w:t>
      </w:r>
      <w:r w:rsidR="00C1036C">
        <w:t xml:space="preserve">their current </w:t>
      </w:r>
      <w:r w:rsidR="00104B26">
        <w:t xml:space="preserve">network load, e.g., </w:t>
      </w:r>
      <w:r w:rsidR="00C1036C">
        <w:t xml:space="preserve">cell load. The SF uses this information to select the appropriate </w:t>
      </w:r>
      <w:r w:rsidR="001B3AA8">
        <w:t xml:space="preserve">Sensing Entities </w:t>
      </w:r>
      <w:r w:rsidR="00C1036C">
        <w:t xml:space="preserve">for the </w:t>
      </w:r>
      <w:r w:rsidR="001B3AA8">
        <w:t xml:space="preserve">sensing </w:t>
      </w:r>
      <w:r w:rsidR="00C1036C">
        <w:t>task</w:t>
      </w:r>
      <w:r w:rsidR="00597E8E">
        <w:t xml:space="preserve"> </w:t>
      </w:r>
      <w:r w:rsidR="00CA2473">
        <w:t xml:space="preserve">and </w:t>
      </w:r>
      <w:r w:rsidR="000252F7">
        <w:t>sends a sensing request</w:t>
      </w:r>
      <w:r w:rsidR="009E0A99">
        <w:t xml:space="preserve"> to </w:t>
      </w:r>
      <w:r w:rsidR="00C34953">
        <w:t>th</w:t>
      </w:r>
      <w:r w:rsidR="00942D0D">
        <w:t>e selected Sensing Entities</w:t>
      </w:r>
      <w:r w:rsidR="00C1036C">
        <w:t xml:space="preserve">. </w:t>
      </w:r>
      <w:r w:rsidR="002A65FD">
        <w:t>A simplified procedure is shown below:</w:t>
      </w:r>
    </w:p>
    <w:p w14:paraId="7FB44B08" w14:textId="5120F78A" w:rsidR="00BF4A54" w:rsidRDefault="00A51BE9" w:rsidP="00BF4A54">
      <w:pPr>
        <w:keepNext/>
        <w:jc w:val="center"/>
      </w:pPr>
      <w:r w:rsidRPr="00A51BE9">
        <w:rPr>
          <w:noProof/>
        </w:rPr>
        <w:t xml:space="preserve"> </w:t>
      </w:r>
      <w:r w:rsidRPr="00A51BE9">
        <w:drawing>
          <wp:inline distT="0" distB="0" distL="0" distR="0" wp14:anchorId="741B0775" wp14:editId="4BFA01B9">
            <wp:extent cx="3283119" cy="2991004"/>
            <wp:effectExtent l="0" t="0" r="0" b="0"/>
            <wp:docPr id="21424012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40120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83119" cy="2991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F39D4" w14:textId="74592E24" w:rsidR="002A65FD" w:rsidRDefault="00BF4A54" w:rsidP="00BF4A5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Simplified procedure for Information request from </w:t>
      </w:r>
      <w:proofErr w:type="spellStart"/>
      <w:r>
        <w:t>gNB</w:t>
      </w:r>
      <w:proofErr w:type="spellEnd"/>
    </w:p>
    <w:p w14:paraId="5537C485" w14:textId="2FD3232C" w:rsidR="007D0EDD" w:rsidRDefault="007D0EDD" w:rsidP="00C1036C">
      <w:pPr>
        <w:jc w:val="both"/>
      </w:pPr>
      <w:r w:rsidRPr="007D0EDD">
        <w:t xml:space="preserve">When the sensing operation does not satisfy the requirements of the requested sensing service, </w:t>
      </w:r>
      <w:r w:rsidR="00940FC7">
        <w:t>S</w:t>
      </w:r>
      <w:r w:rsidRPr="007D0EDD">
        <w:t xml:space="preserve">ensing </w:t>
      </w:r>
      <w:r w:rsidR="00940FC7">
        <w:t>function</w:t>
      </w:r>
      <w:r w:rsidRPr="007D0EDD">
        <w:t xml:space="preserve"> may </w:t>
      </w:r>
      <w:r>
        <w:t>perform re-selection of sensing entities</w:t>
      </w:r>
      <w:r w:rsidRPr="007D0EDD">
        <w:t>.</w:t>
      </w:r>
      <w:r w:rsidR="002A65FD">
        <w:t xml:space="preserve"> </w:t>
      </w:r>
    </w:p>
    <w:p w14:paraId="0C10FB1F" w14:textId="77777777" w:rsidR="002A65FD" w:rsidRPr="009E791C" w:rsidRDefault="002A65FD" w:rsidP="00C1036C">
      <w:pPr>
        <w:jc w:val="both"/>
      </w:pPr>
    </w:p>
    <w:sectPr w:rsidR="002A65FD" w:rsidRPr="009E7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6537AC"/>
    <w:multiLevelType w:val="hybridMultilevel"/>
    <w:tmpl w:val="21702786"/>
    <w:lvl w:ilvl="0" w:tplc="9A08BFA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764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857"/>
    <w:rsid w:val="00007573"/>
    <w:rsid w:val="00010522"/>
    <w:rsid w:val="00020E34"/>
    <w:rsid w:val="000252F7"/>
    <w:rsid w:val="0003258D"/>
    <w:rsid w:val="00056808"/>
    <w:rsid w:val="0006778D"/>
    <w:rsid w:val="000701B0"/>
    <w:rsid w:val="000735C5"/>
    <w:rsid w:val="00085EFE"/>
    <w:rsid w:val="00095E9E"/>
    <w:rsid w:val="000F2878"/>
    <w:rsid w:val="00104B26"/>
    <w:rsid w:val="00127182"/>
    <w:rsid w:val="00145493"/>
    <w:rsid w:val="00147DC8"/>
    <w:rsid w:val="00186436"/>
    <w:rsid w:val="0019223F"/>
    <w:rsid w:val="00192B7C"/>
    <w:rsid w:val="00197CBC"/>
    <w:rsid w:val="001B2059"/>
    <w:rsid w:val="001B3AA8"/>
    <w:rsid w:val="001E44B0"/>
    <w:rsid w:val="001E488C"/>
    <w:rsid w:val="001E48CE"/>
    <w:rsid w:val="001F5F20"/>
    <w:rsid w:val="002045AD"/>
    <w:rsid w:val="002373B2"/>
    <w:rsid w:val="00244F00"/>
    <w:rsid w:val="002A65FD"/>
    <w:rsid w:val="002C5211"/>
    <w:rsid w:val="002D0EBD"/>
    <w:rsid w:val="002E1D3F"/>
    <w:rsid w:val="0030005C"/>
    <w:rsid w:val="00301857"/>
    <w:rsid w:val="00304A43"/>
    <w:rsid w:val="00307FF8"/>
    <w:rsid w:val="00312535"/>
    <w:rsid w:val="003408AC"/>
    <w:rsid w:val="003658FE"/>
    <w:rsid w:val="003679E7"/>
    <w:rsid w:val="00374799"/>
    <w:rsid w:val="00383D61"/>
    <w:rsid w:val="003A120A"/>
    <w:rsid w:val="003B7516"/>
    <w:rsid w:val="003D7ED4"/>
    <w:rsid w:val="00402D5F"/>
    <w:rsid w:val="00423712"/>
    <w:rsid w:val="0042488B"/>
    <w:rsid w:val="00434C39"/>
    <w:rsid w:val="004424C2"/>
    <w:rsid w:val="004542C6"/>
    <w:rsid w:val="00454F39"/>
    <w:rsid w:val="00457083"/>
    <w:rsid w:val="00481B85"/>
    <w:rsid w:val="00484B16"/>
    <w:rsid w:val="0049272E"/>
    <w:rsid w:val="00492A2B"/>
    <w:rsid w:val="004937CA"/>
    <w:rsid w:val="004A104A"/>
    <w:rsid w:val="004A7560"/>
    <w:rsid w:val="004C1262"/>
    <w:rsid w:val="004D7762"/>
    <w:rsid w:val="004E52E3"/>
    <w:rsid w:val="004F0168"/>
    <w:rsid w:val="004F0407"/>
    <w:rsid w:val="00511AC6"/>
    <w:rsid w:val="005218CC"/>
    <w:rsid w:val="00571ED9"/>
    <w:rsid w:val="00586FC1"/>
    <w:rsid w:val="00597E8E"/>
    <w:rsid w:val="005D4CAB"/>
    <w:rsid w:val="005F7733"/>
    <w:rsid w:val="00612A03"/>
    <w:rsid w:val="006167C6"/>
    <w:rsid w:val="0063258A"/>
    <w:rsid w:val="00633399"/>
    <w:rsid w:val="0064326D"/>
    <w:rsid w:val="006538FA"/>
    <w:rsid w:val="00660AAF"/>
    <w:rsid w:val="00675B54"/>
    <w:rsid w:val="0067667D"/>
    <w:rsid w:val="00693976"/>
    <w:rsid w:val="006A0F46"/>
    <w:rsid w:val="006A2E22"/>
    <w:rsid w:val="006B40FE"/>
    <w:rsid w:val="006C5DE2"/>
    <w:rsid w:val="006F2009"/>
    <w:rsid w:val="006F735E"/>
    <w:rsid w:val="007014BB"/>
    <w:rsid w:val="007209E7"/>
    <w:rsid w:val="0073530C"/>
    <w:rsid w:val="00754B70"/>
    <w:rsid w:val="007601D3"/>
    <w:rsid w:val="00775D87"/>
    <w:rsid w:val="00776BB6"/>
    <w:rsid w:val="00777D62"/>
    <w:rsid w:val="00792727"/>
    <w:rsid w:val="00793877"/>
    <w:rsid w:val="00796AD1"/>
    <w:rsid w:val="007A1099"/>
    <w:rsid w:val="007C0BBD"/>
    <w:rsid w:val="007C18FE"/>
    <w:rsid w:val="007C7880"/>
    <w:rsid w:val="007D0EDD"/>
    <w:rsid w:val="007D2614"/>
    <w:rsid w:val="007E7941"/>
    <w:rsid w:val="007F475F"/>
    <w:rsid w:val="007F7FA6"/>
    <w:rsid w:val="008113CE"/>
    <w:rsid w:val="00833CAB"/>
    <w:rsid w:val="008407DD"/>
    <w:rsid w:val="0084084E"/>
    <w:rsid w:val="00862452"/>
    <w:rsid w:val="00866391"/>
    <w:rsid w:val="0087066A"/>
    <w:rsid w:val="00870E97"/>
    <w:rsid w:val="00871D3B"/>
    <w:rsid w:val="0088203F"/>
    <w:rsid w:val="00886D60"/>
    <w:rsid w:val="008970CA"/>
    <w:rsid w:val="008979C7"/>
    <w:rsid w:val="008A0914"/>
    <w:rsid w:val="008A3C87"/>
    <w:rsid w:val="008A4A3F"/>
    <w:rsid w:val="008A66DE"/>
    <w:rsid w:val="008B14B5"/>
    <w:rsid w:val="008B400F"/>
    <w:rsid w:val="008B61B0"/>
    <w:rsid w:val="008D4431"/>
    <w:rsid w:val="009008AF"/>
    <w:rsid w:val="009026E3"/>
    <w:rsid w:val="0091266B"/>
    <w:rsid w:val="00913047"/>
    <w:rsid w:val="00940FC7"/>
    <w:rsid w:val="00942D0D"/>
    <w:rsid w:val="0095374E"/>
    <w:rsid w:val="009545CD"/>
    <w:rsid w:val="0095623C"/>
    <w:rsid w:val="0096439C"/>
    <w:rsid w:val="009703A4"/>
    <w:rsid w:val="009729FD"/>
    <w:rsid w:val="00981B17"/>
    <w:rsid w:val="009820CB"/>
    <w:rsid w:val="00996094"/>
    <w:rsid w:val="00997DDE"/>
    <w:rsid w:val="009A4134"/>
    <w:rsid w:val="009B2D95"/>
    <w:rsid w:val="009E0A99"/>
    <w:rsid w:val="009E791C"/>
    <w:rsid w:val="009E7A1B"/>
    <w:rsid w:val="009F546D"/>
    <w:rsid w:val="00A05DAB"/>
    <w:rsid w:val="00A51BE9"/>
    <w:rsid w:val="00A5427E"/>
    <w:rsid w:val="00A57746"/>
    <w:rsid w:val="00A615CC"/>
    <w:rsid w:val="00A63C49"/>
    <w:rsid w:val="00A70278"/>
    <w:rsid w:val="00A7485E"/>
    <w:rsid w:val="00A76AF5"/>
    <w:rsid w:val="00A809EB"/>
    <w:rsid w:val="00AA6BC9"/>
    <w:rsid w:val="00AC123D"/>
    <w:rsid w:val="00AC35C3"/>
    <w:rsid w:val="00AD39B4"/>
    <w:rsid w:val="00AE080A"/>
    <w:rsid w:val="00AF143B"/>
    <w:rsid w:val="00B012A7"/>
    <w:rsid w:val="00B1368E"/>
    <w:rsid w:val="00B417D0"/>
    <w:rsid w:val="00B432EE"/>
    <w:rsid w:val="00B461FE"/>
    <w:rsid w:val="00B721C1"/>
    <w:rsid w:val="00B73F5A"/>
    <w:rsid w:val="00B93488"/>
    <w:rsid w:val="00BA1540"/>
    <w:rsid w:val="00BC5DA5"/>
    <w:rsid w:val="00BE1218"/>
    <w:rsid w:val="00BF4A54"/>
    <w:rsid w:val="00BF712D"/>
    <w:rsid w:val="00C017C5"/>
    <w:rsid w:val="00C0567E"/>
    <w:rsid w:val="00C1036C"/>
    <w:rsid w:val="00C105FE"/>
    <w:rsid w:val="00C15C6D"/>
    <w:rsid w:val="00C2125D"/>
    <w:rsid w:val="00C24DB2"/>
    <w:rsid w:val="00C34953"/>
    <w:rsid w:val="00C34A1A"/>
    <w:rsid w:val="00C43EEF"/>
    <w:rsid w:val="00C55DCE"/>
    <w:rsid w:val="00C64841"/>
    <w:rsid w:val="00C73B6A"/>
    <w:rsid w:val="00C91031"/>
    <w:rsid w:val="00CA2473"/>
    <w:rsid w:val="00CA26D7"/>
    <w:rsid w:val="00CB21B6"/>
    <w:rsid w:val="00D21840"/>
    <w:rsid w:val="00D23EEC"/>
    <w:rsid w:val="00D25DF3"/>
    <w:rsid w:val="00D416AF"/>
    <w:rsid w:val="00D47E4B"/>
    <w:rsid w:val="00D67077"/>
    <w:rsid w:val="00D83BA7"/>
    <w:rsid w:val="00D92BD6"/>
    <w:rsid w:val="00D95445"/>
    <w:rsid w:val="00DB5132"/>
    <w:rsid w:val="00DC568D"/>
    <w:rsid w:val="00DD3C3B"/>
    <w:rsid w:val="00DE7C7A"/>
    <w:rsid w:val="00E12852"/>
    <w:rsid w:val="00E57B68"/>
    <w:rsid w:val="00E67F75"/>
    <w:rsid w:val="00E84A88"/>
    <w:rsid w:val="00E9404E"/>
    <w:rsid w:val="00EA24F6"/>
    <w:rsid w:val="00EA2BC6"/>
    <w:rsid w:val="00EB6D82"/>
    <w:rsid w:val="00EB7F20"/>
    <w:rsid w:val="00ED739C"/>
    <w:rsid w:val="00EF3E41"/>
    <w:rsid w:val="00F00E41"/>
    <w:rsid w:val="00F13367"/>
    <w:rsid w:val="00F21920"/>
    <w:rsid w:val="00F24832"/>
    <w:rsid w:val="00F33551"/>
    <w:rsid w:val="00F37FC5"/>
    <w:rsid w:val="00F45541"/>
    <w:rsid w:val="00F637A5"/>
    <w:rsid w:val="00F84790"/>
    <w:rsid w:val="00F9589F"/>
    <w:rsid w:val="00F97FEC"/>
    <w:rsid w:val="00FA5365"/>
    <w:rsid w:val="00FA72AD"/>
    <w:rsid w:val="00FB50CC"/>
    <w:rsid w:val="00FB76B6"/>
    <w:rsid w:val="00FD2AC6"/>
    <w:rsid w:val="00FD4D01"/>
    <w:rsid w:val="00FF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09918"/>
  <w15:chartTrackingRefBased/>
  <w15:docId w15:val="{578137C7-E03E-46C2-99EA-1DD671BF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18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18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8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8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8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8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8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8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8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8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018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8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8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8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8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8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8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8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18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8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8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8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18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8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18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8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8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8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1857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9729FD"/>
  </w:style>
  <w:style w:type="character" w:customStyle="1" w:styleId="eop">
    <w:name w:val="eop"/>
    <w:basedOn w:val="DefaultParagraphFont"/>
    <w:rsid w:val="009729FD"/>
  </w:style>
  <w:style w:type="paragraph" w:styleId="Caption">
    <w:name w:val="caption"/>
    <w:basedOn w:val="Normal"/>
    <w:next w:val="Normal"/>
    <w:uiPriority w:val="35"/>
    <w:unhideWhenUsed/>
    <w:qFormat/>
    <w:rsid w:val="00484B16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624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24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24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45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219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AIR</TNOC_ClusterName>
    <h15fbb78f4cb41d290e72f301ea2865f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0e39c402-577a-4293-b233-21fe7d53260f">
      <Terms xmlns="http://schemas.microsoft.com/office/infopath/2007/PartnerControls"/>
    </lca20d149a844688b6abf34073d5c21d>
    <TNOC_ClusterId xmlns="2f6a910d-138e-42c1-8e8a-320c1b7cf3f7">T98111</TNOC_ClusterId>
    <n2a7a23bcc2241cb9261f9a914c7c1bb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0e39c402-577a-4293-b233-21fe7d53260f">
      <Value>2</Value>
      <Value>1</Value>
    </TaxCatchAll>
    <bac4ab11065f4f6c809c820c57e320e5 xmlns="0e39c402-577a-4293-b233-21fe7d53260f">
      <Terms xmlns="http://schemas.microsoft.com/office/infopath/2007/PartnerControls"/>
    </bac4ab11065f4f6c809c820c57e320e5>
    <lcf76f155ced4ddcb4097134ff3c332f xmlns="31ffc1b5-73c5-40ee-9910-f279659efa5e">
      <Terms xmlns="http://schemas.microsoft.com/office/infopath/2007/PartnerControls"/>
    </lcf76f155ced4ddcb4097134ff3c332f>
    <_dlc_DocId xmlns="0e39c402-577a-4293-b233-21fe7d53260f">TCFEZ3EENAKX-1044114455-3217</_dlc_DocId>
    <_dlc_DocIdUrl xmlns="0e39c402-577a-4293-b233-21fe7d53260f">
      <Url>https://365tno.sharepoint.com/teams/T98111/_layouts/15/DocIdRedir.aspx?ID=TCFEZ3EENAKX-1044114455-3217</Url>
      <Description>TCFEZ3EENAKX-1044114455-3217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62598BB395BF1F4594F76498856216D3" ma:contentTypeVersion="13" ma:contentTypeDescription=" " ma:contentTypeScope="" ma:versionID="b8a6570aafbf742335c4a811aa6e634f">
  <xsd:schema xmlns:xsd="http://www.w3.org/2001/XMLSchema" xmlns:xs="http://www.w3.org/2001/XMLSchema" xmlns:p="http://schemas.microsoft.com/office/2006/metadata/properties" xmlns:ns2="0e39c402-577a-4293-b233-21fe7d53260f" xmlns:ns3="2f6a910d-138e-42c1-8e8a-320c1b7cf3f7" xmlns:ns5="31ffc1b5-73c5-40ee-9910-f279659efa5e" targetNamespace="http://schemas.microsoft.com/office/2006/metadata/properties" ma:root="true" ma:fieldsID="2434cbf96d32acc1bec52dbd00c94c2d" ns2:_="" ns3:_="" ns5:_="">
    <xsd:import namespace="0e39c402-577a-4293-b233-21fe7d53260f"/>
    <xsd:import namespace="2f6a910d-138e-42c1-8e8a-320c1b7cf3f7"/>
    <xsd:import namespace="31ffc1b5-73c5-40ee-9910-f279659efa5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bac4ab11065f4f6c809c820c57e320e5" minOccurs="0"/>
                <xsd:element ref="ns5:lcf76f155ced4ddcb4097134ff3c332f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SearchProperties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9c402-577a-4293-b233-21fe7d53260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90c1843-e716-4c37-850d-cded767a25d2}" ma:internalName="TaxCatchAll" ma:showField="CatchAllData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90c1843-e716-4c37-850d-cded767a25d2}" ma:internalName="TaxCatchAllLabel" ma:readOnly="true" ma:showField="CatchAllDataLabel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fc1b5-73c5-40ee-9910-f279659efa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139D11-1255-4F78-A148-FD69E8F90506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0e39c402-577a-4293-b233-21fe7d53260f"/>
    <ds:schemaRef ds:uri="31ffc1b5-73c5-40ee-9910-f279659efa5e"/>
  </ds:schemaRefs>
</ds:datastoreItem>
</file>

<file path=customXml/itemProps2.xml><?xml version="1.0" encoding="utf-8"?>
<ds:datastoreItem xmlns:ds="http://schemas.openxmlformats.org/officeDocument/2006/customXml" ds:itemID="{E25B7C3D-9FD2-4553-9212-5743E51554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60E582-3027-48D3-891D-34C1E544B67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F913D4-7526-4111-BB59-940E7BE59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39c402-577a-4293-b233-21fe7d53260f"/>
    <ds:schemaRef ds:uri="2f6a910d-138e-42c1-8e8a-320c1b7cf3f7"/>
    <ds:schemaRef ds:uri="31ffc1b5-73c5-40ee-9910-f279659ef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495</Words>
  <Characters>2822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Sachdeva, P. (Prachi)</dc:creator>
  <cp:keywords/>
  <dc:description/>
  <cp:lastModifiedBy>Sachdeva, P. (Prachi)</cp:lastModifiedBy>
  <cp:revision>85</cp:revision>
  <dcterms:created xsi:type="dcterms:W3CDTF">2026-01-21T16:25:00Z</dcterms:created>
  <dcterms:modified xsi:type="dcterms:W3CDTF">2026-01-30T11:19:00Z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0x010100A35317DCC28344A7B82488658A034A5C010062598BB395BF1F4594F76498856216D3</vt:lpwstr>
  </property>
  <property fmtid="{D5CDD505-2E9C-101B-9397-08002B2CF9AE}" pid="3" name="_dlc_DocIdItemGuid">
    <vt:lpwstr>36c86a65-09af-471a-80d6-9b748039be0a</vt:lpwstr>
  </property>
  <property fmtid="{D5CDD505-2E9C-101B-9397-08002B2CF9AE}" pid="4" name="MediaServiceImageTags">
    <vt:lpwstr/>
  </property>
  <property fmtid="{D5CDD505-2E9C-101B-9397-08002B2CF9AE}" pid="5" name="TNOC_DocumentType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ategory">
    <vt:lpwstr/>
  </property>
  <property fmtid="{D5CDD505-2E9C-101B-9397-08002B2CF9AE}" pid="8" name="TNOC_DocumentClassification">
    <vt:lpwstr>1;#TNO Internal|1a23c89f-ef54-4907-86fd-8242403ff722</vt:lpwstr>
  </property>
  <property fmtid="{D5CDD505-2E9C-101B-9397-08002B2CF9AE}" pid="9" name="docLang">
    <vt:lpwstr>en</vt:lpwstr>
  </property>
</Properties>
</file>